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 Catalog &amp; RBAC/ABAC Taxonomy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roles across clouds mapped to group names; least privilege; short sessions.</w:t>
      </w:r>
    </w:p>
    <w:p>
      <w:r>
        <w:rPr>
          <w:rFonts w:ascii="Times New Roman" w:hAnsi="Times New Roman"/>
          <w:color w:val="000000"/>
          <w:sz w:val="22"/>
        </w:rPr>
        <w:t>• Break‑glass patterns; quarterly access reviews; toxic combination detection.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Permissions/Policies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Elevation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