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 &amp; Metadata Harmonization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keys: court_id, system_id, data_class, owner, env, region, rto, rpo, retention, pii, cjis, encryption_key_id.</w:t>
      </w:r>
    </w:p>
    <w:p>
      <w:r>
        <w:rPr>
          <w:rFonts w:ascii="Times New Roman" w:hAnsi="Times New Roman"/>
          <w:color w:val="000000"/>
          <w:sz w:val="22"/>
        </w:rPr>
        <w:t>• Enforcement via policies; deny non‑compliant creation; periodic remediation and reporting.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Key/Label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 Mechanism (per cloud)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Propagation/Inheritance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