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Network Reference Patterns (Private-First)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Hub‑and‑spoke/vWAN/TGW/Cloud Router/DRG; centralized egress; DNS split‑horizon.</w:t>
      </w:r>
    </w:p>
    <w:p>
      <w:r>
        <w:rPr>
          <w:rFonts w:ascii="Times New Roman" w:hAnsi="Times New Roman"/>
          <w:color w:val="000000"/>
          <w:sz w:val="22"/>
        </w:rPr>
        <w:t>• Admin endpoints private; WAF/LB ingress with TLS1.2+ and mTLS for admin.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Pattern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 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