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Private Service Access (PLA/PSC/SG)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Use PrivateLink/Private Link/Private Service Connect/Service Gateway to reach services.</w:t>
      </w:r>
    </w:p>
    <w:p>
      <w:r>
        <w:rPr>
          <w:rFonts w:ascii="Times New Roman" w:hAnsi="Times New Roman"/>
          <w:color w:val="000000"/>
          <w:sz w:val="22"/>
        </w:rPr>
        <w:t>• Broker via shared services; approved endpoint catalog.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Service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Cloud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Endpoint Type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Owning Scope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Approved?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