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SIEM &amp; SOAR Integration — Multi-Cloud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Detections mapped to MITRE; response playbooks with court context; tuning &amp; FP management.</w:t>
      </w:r>
    </w:p>
    <w:p>
      <w:r>
        <w:rPr>
          <w:rFonts w:ascii="Times New Roman" w:hAnsi="Times New Roman"/>
          <w:color w:val="000000"/>
          <w:sz w:val="22"/>
        </w:rPr>
        <w:t>• 24x7 on‑call; evidence capture; regulator notifications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Use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Technique (MITRE)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