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Container &amp; Kubernetes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EKS/AKS/GKE/OKE policies: admission controls, namespace isolation, secrets, network policies.</w:t>
      </w:r>
    </w:p>
    <w:p>
      <w:r>
        <w:rPr>
          <w:rFonts w:ascii="Times New Roman" w:hAnsi="Times New Roman"/>
          <w:color w:val="000000"/>
          <w:sz w:val="22"/>
        </w:rPr>
        <w:t>• Registry policies, image signing, runtime protections.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Cluster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 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Enforcement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