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Protection &amp; DLP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Classification mapped to labels; encrypt in transit/at rest; DLP for SaaS and exfil paths.</w:t>
      </w:r>
    </w:p>
    <w:p>
      <w:r>
        <w:rPr>
          <w:rFonts w:ascii="Times New Roman" w:hAnsi="Times New Roman"/>
          <w:color w:val="000000"/>
          <w:sz w:val="22"/>
        </w:rPr>
        <w:t>• Treat sensitive judicial data with IL5/IL6‑like rigor; residency constraints by court.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Class/Label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Encryption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DLP 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