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Provider Selection Framework (Per Court)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Score each court/workload on: compliance region, latency to users, required PaaS, data gravity, directory/identity fit, licensing, cost, resilience needs, exit risk.</w:t>
      </w:r>
    </w:p>
    <w:p>
      <w:r>
        <w:rPr>
          <w:rFonts w:ascii="Times New Roman" w:hAnsi="Times New Roman"/>
          <w:color w:val="000000"/>
          <w:sz w:val="22"/>
        </w:rPr>
        <w:t>Produce a weighted scorecard and choose the provider (or multi‑cloud) per wave.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