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DevSecOps Vision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Shift-left security with automation-first; evidence-first operations; least privilege everywhere.</w:t>
      </w:r>
    </w:p>
    <w:p>
      <w:r>
        <w:rPr>
          <w:rFonts w:ascii="Times New Roman" w:hAnsi="Times New Roman"/>
          <w:color w:val="000000"/>
          <w:sz w:val="22"/>
        </w:rPr>
        <w:t>• Per-court isolation maintained through tooling boundaries; private-first build &amp; release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