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SDLC Policy &amp; Lifecycle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Idea → Design/Threat Model → Build → Test → Release → Operate → Learn.</w:t>
      </w:r>
    </w:p>
    <w:p>
      <w:r>
        <w:rPr>
          <w:rFonts w:ascii="Times New Roman" w:hAnsi="Times New Roman"/>
          <w:color w:val="000000"/>
          <w:sz w:val="22"/>
        </w:rPr>
        <w:t>• Gate reviews with auditable evidence; ADRs for architectural choices.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Entry Criteria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Exit Criteria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Artifacts/Evidence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