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Threat Modeling Standard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STRIDE-based; dataflow diagrams; abuse cases; risk rating; mitigations tracked in backlog.</w:t>
      </w:r>
    </w:p>
    <w:p>
      <w:r>
        <w:rPr>
          <w:rFonts w:ascii="Times New Roman" w:hAnsi="Times New Roman"/>
          <w:color w:val="000000"/>
          <w:sz w:val="22"/>
        </w:rPr>
        <w:t>• Templates and review cadence; evidence attachment locations.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System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Trust Boundaries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Threats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Mitigations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Residual Risk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