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Source Control Governance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Repo creation standards; visibility; archiving; secrets prevention; third‑party access review.</w:t>
      </w:r>
    </w:p>
    <w:p>
      <w:r>
        <w:rPr>
          <w:rFonts w:ascii="Times New Roman" w:hAnsi="Times New Roman"/>
          <w:color w:val="000000"/>
          <w:sz w:val="22"/>
        </w:rPr>
        <w:t>• Automated policy enforcement via org-level settings &amp; bots.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Control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Implementation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