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Identity &amp; Access for Dev Tooling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 IdP SSO; SCIM/JIT; least-privilege roles; PAW for admins; no long‑lived PATs.</w:t>
      </w:r>
    </w:p>
    <w:p>
      <w:r>
        <w:rPr>
          <w:rFonts w:ascii="Times New Roman" w:hAnsi="Times New Roman"/>
          <w:color w:val="000000"/>
          <w:sz w:val="22"/>
        </w:rPr>
        <w:t>• Short-lived OIDC tokens for CI; workload identity federation.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