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Dependency &amp; Supply Chain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Pinned versions; allow/deny lists; vulnerability thresholds; provenance verification; vendor risk.</w:t>
      </w:r>
    </w:p>
    <w:p>
      <w:r>
        <w:rPr>
          <w:rFonts w:ascii="Times New Roman" w:hAnsi="Times New Roman"/>
          <w:color w:val="000000"/>
          <w:sz w:val="22"/>
        </w:rPr>
        <w:t>• SBOM required for all releases; store with artifacts; delta SBOM for patches.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Vuln Status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