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Testing Strategy (Unit→E2E→Security)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Minimum coverage; flaky test policy; parallelization; security testing integrated into PR.</w:t>
      </w:r>
    </w:p>
    <w:p>
      <w:r>
        <w:rPr>
          <w:rFonts w:ascii="Times New Roman" w:hAnsi="Times New Roman"/>
          <w:color w:val="000000"/>
          <w:sz w:val="22"/>
        </w:rPr>
        <w:t>• DAST against ephemeral envs; IAST where applicable; data masking in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