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SAST/SCA/DAST/IAST Configuration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Languages/tools matrix; rulesets; false-positive management; SARIF exports; dashboards.</w:t>
      </w:r>
    </w:p>
    <w:p>
      <w:r>
        <w:rPr>
          <w:rFonts w:ascii="Times New Roman" w:hAnsi="Times New Roman"/>
          <w:color w:val="000000"/>
          <w:sz w:val="22"/>
        </w:rPr>
        <w:t>• Thresholds tied to risk and criticality; nightly deep scans.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Language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Ruleset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Report Link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