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CI/CD Vision &amp; Principles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Automation-first pipelines with security and compliance built-in; evidence-first operations.</w:t>
      </w:r>
    </w:p>
    <w:p>
      <w:r>
        <w:rPr>
          <w:rFonts w:ascii="Times New Roman" w:hAnsi="Times New Roman"/>
          <w:color w:val="000000"/>
          <w:sz w:val="22"/>
        </w:rPr>
        <w:t>• Per-court isolation honored; private-first connectivity; ephemeral credentials.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