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Golden Pipeline — Stage Matrix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Checkout → Build → Unit → Integration → SAST → SCA → DAST/IAST (as applicable) → Sign → SBOM → Policy → Package → Deploy.</w:t>
      </w:r>
    </w:p>
    <w:p>
      <w:r>
        <w:rPr>
          <w:rFonts w:ascii="Times New Roman" w:hAnsi="Times New Roman"/>
          <w:color w:val="000000"/>
          <w:sz w:val="22"/>
        </w:rPr>
        <w:t>• Fail-closed policy for critical security gates; exception workflow with expiry.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Tool/Action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Must Pass?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(SARIF/SBOM/Logs)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