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81_CICD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02_CI_CD_Vision_Principles.docx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03_Operating_Model_Roles_RACI_.docx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04_SDLC_Policy_Lifecycle.docx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05_Branch_Protection_Merge_Strategy.docx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06_Golden_Pipeline_Stage_Matrix.docx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07_Testing_Strategy_Integration.docx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08_Secrets_Identity_in_CI.docx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09_Artifact_Signing_Provenance.docx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10_SBOM_Standard_Storage.docx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11_Policy-as-Code_Enforcement.docx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12_Environment_Promotion_Release_Management.docx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13_Deployment_Strategies.docx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14_Rollback_Backout_Strategy.docx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15_Evidence_Capture_ATO_Alignment.docx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16_Metrics_KPIs_DORA_Security_.docx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17_Tooling_Reference_Mapping_per_CI_CD_platform_.docx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18_Monorepo_vs_Polyrepo_Strategy.docx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19_GitHub_Actions_OIDC_to_AWS_Azure_GCP_OCI.docx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20_Azure_DevOps_Pipelines_Federated_Credentials.docx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21_GitLab_CI_Workload_Identity_Runners.docx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22_GCP_Cloud_Build_Workload_Identity_Federation.docx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23_AWS_CodePipeline_CodeBuild_Cross-Account_Roles.docx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24_Golden_Pipeline_Template_Web_App_Node_React_.docx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25_Golden_Pipeline_Template_API_Python_Flask_.docx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26_Golden_Pipeline_Template_Container_Service_Kubernetes_.docx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27_Golden_Pipeline_Template_IaC_Terraform_.docx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28_Golden_Pipeline_Template_Data_ETL_dbt_Airflow_.docx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29_Runbook_Secure_Runners_Agents.docx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30_Runbook_Connect_CI_to_Artifact_Repositories.docx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31_Runbook_Ephemeral_Environments_for_PRs.docx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32_Runbook_Key_Secret_Rotation_in_Pipelines.docx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33_Runbook_Break-Glass_Pipeline_Procedure.docx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34_Runbook_Pipeline_DR_Backup.docx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35_Runbook_Nightly_Deep_Security_Scans.docx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