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AI/ML Vision &amp; Principles for the Judiciary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Per‑court isolation; evidence‑first operations; privacy by design; Zero Trust for AI systems.</w:t>
      </w:r>
    </w:p>
    <w:p>
      <w:r>
        <w:rPr>
          <w:rFonts w:ascii="Times New Roman" w:hAnsi="Times New Roman"/>
          <w:color w:val="000000"/>
          <w:sz w:val="22"/>
        </w:rPr>
        <w:t>• Private‑first networking; encryption everywhere; model transparency; auditability and reproducibility.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