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Responsible AI Governance (Cross‑Cloud)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Adopt risk‑based controls aligned to AI risk frameworks; proportional controls by use case risk.</w:t>
      </w:r>
    </w:p>
    <w:p>
      <w:r>
        <w:rPr>
          <w:rFonts w:ascii="Times New Roman" w:hAnsi="Times New Roman"/>
          <w:color w:val="000000"/>
          <w:sz w:val="22"/>
        </w:rPr>
        <w:t>• Human oversight, transparency artifacts, incident escalation, and public trust measures.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 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Use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Theme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 Required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