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Governance for AI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Classification, minimization, consent, residency; lineage; contracts for datasets and features.</w:t>
      </w:r>
    </w:p>
    <w:p>
      <w:r>
        <w:rPr>
          <w:rFonts w:ascii="Times New Roman" w:hAnsi="Times New Roman"/>
          <w:color w:val="000000"/>
          <w:sz w:val="22"/>
        </w:rPr>
        <w:t>• Data masking/synthetic data; retention &amp; deletion; eDiscovery alignment.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Residency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PII?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Deletion Process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