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Model Evaluation &amp; Risk Scoring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Task‑appropriate metrics; red/blue team results; calibrated thresholds; human‑in‑the‑loop criteria.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Use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Metric(s)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Threshold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Residual Risk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