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Procurement &amp; Third‑Party Model Due Diligence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Licensing, data rights, privacy posture, security attestations, support SLAs, exit terms.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Vendor/Model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 Use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Security Attestation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Exit Plan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Decision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