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Platform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 with centralized shared services; Zero Trust; private‑first data access.</w:t>
      </w:r>
    </w:p>
    <w:p>
      <w:r>
        <w:rPr>
          <w:rFonts w:ascii="Times New Roman" w:hAnsi="Times New Roman"/>
          <w:color w:val="000000"/>
          <w:sz w:val="22"/>
        </w:rPr>
        <w:t>• Evidence‑first operations mapped to ATO controls; automation by default; portability and exit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