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Governance &amp; Policy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Classification, residency, minimization, consent; legal holds; sharing agreements; audit trail.</w:t>
      </w:r>
    </w:p>
    <w:p>
      <w:r>
        <w:rPr>
          <w:rFonts w:ascii="Times New Roman" w:hAnsi="Times New Roman"/>
          <w:color w:val="000000"/>
          <w:sz w:val="22"/>
        </w:rPr>
        <w:t>• Policy-as-code enforcement; exceptions workflow with expiry; training &amp; attestations.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 Mechanism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Exception 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Expiry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