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Security &amp; Privacy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Encryption at rest/in transit; FIPS-validated crypto; tokenization/masking; row/column security.</w:t>
      </w:r>
    </w:p>
    <w:p>
      <w:r>
        <w:rPr>
          <w:rFonts w:ascii="Times New Roman" w:hAnsi="Times New Roman"/>
          <w:color w:val="000000"/>
          <w:sz w:val="22"/>
        </w:rPr>
        <w:t>• Admin endpoints private-only; secrets in vaults; cert/key rotation; access logs retained.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