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 Model (RBAC/ABAC, Row/Column Level Security)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Attribute-based policies tied to court_id, data_class, residency; admin JIT; PAW for admins.</w:t>
      </w:r>
    </w:p>
    <w:p>
      <w:r>
        <w:rPr>
          <w:rFonts w:ascii="Times New Roman" w:hAnsi="Times New Roman"/>
          <w:color w:val="000000"/>
          <w:sz w:val="22"/>
        </w:rPr>
        <w:t>• Fine-grained controls in warehouse/lake and BI tools; approval workflows.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Attributes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Cadence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