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Quality &amp; Observability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Rules/expectations; freshness/completeness/consistency; incident path; SLOs.</w:t>
      </w:r>
    </w:p>
    <w:p>
      <w:r>
        <w:rPr>
          <w:rFonts w:ascii="Times New Roman" w:hAnsi="Times New Roman"/>
          <w:color w:val="000000"/>
          <w:sz w:val="22"/>
        </w:rPr>
        <w:t>• Great Expectations/Deequ/cloud‑native tools; dashboards; POA&amp;M linkage for failed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