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Roles (RACI)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Roles: FinOps Lead, Court FinOps Partners, App Owners, Platform, Security, Procurement, Finance.</w:t>
      </w:r>
    </w:p>
    <w:p>
      <w:r>
        <w:rPr>
          <w:rFonts w:ascii="Times New Roman" w:hAnsi="Times New Roman"/>
          <w:color w:val="000000"/>
          <w:sz w:val="22"/>
        </w:rPr>
        <w:t>• Cadence: monthly reviews, quarterly planning, annual commitments; ECAB for anomalies &gt; threshold.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