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Governance &amp; Policy — Budgets, Alerts, Escalation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 per court/app/env; threshold alerts; variance SLAs; escalation path to ARB/CCB/ECAB.</w:t>
      </w:r>
    </w:p>
    <w:p>
      <w:r>
        <w:rPr>
          <w:rFonts w:ascii="Times New Roman" w:hAnsi="Times New Roman"/>
          <w:color w:val="000000"/>
          <w:sz w:val="22"/>
        </w:rPr>
        <w:t>• Policy-as-code enforcement for tagging, region usage, and egress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Escalation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