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Account &amp; Billing Structure — Multi‑Cloud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Per‑court billing containers (accounts/subscriptions/projects/tenancies).</w:t>
      </w:r>
    </w:p>
    <w:p>
      <w:r>
        <w:rPr>
          <w:rFonts w:ascii="Times New Roman" w:hAnsi="Times New Roman"/>
          <w:color w:val="000000"/>
          <w:sz w:val="22"/>
        </w:rPr>
        <w:t>• Central payer; shared services allocation; cross‑cloud currency normalization.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Billing Container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Payer/Contract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