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Tagging/Labeling Standard for Cost Allocation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keys: court_id, system_id, env, owner, data_class, region, rto, rpo, project, cost_center.</w:t>
      </w:r>
    </w:p>
    <w:p>
      <w:r>
        <w:rPr>
          <w:rFonts w:ascii="Times New Roman" w:hAnsi="Times New Roman"/>
          <w:color w:val="000000"/>
          <w:sz w:val="22"/>
        </w:rPr>
        <w:t>• Deny non‑compliant resource creation; remediation reports; evidence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Key/Label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 Mechanism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