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Shared Services Allocation (Chargeback Showback)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Allocation drivers: usage, seats, requests, data volume, percent split; monthly true‑up.</w:t>
      </w:r>
    </w:p>
    <w:p>
      <w:r>
        <w:rPr>
          <w:rFonts w:ascii="Times New Roman" w:hAnsi="Times New Roman"/>
          <w:color w:val="000000"/>
          <w:sz w:val="22"/>
        </w:rPr>
        <w:t>• Court transparency: invoice detail + evidence pointers.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Allocation %/Formula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