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Commitment Management (SP/RI/CUD/SUD)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Portfolio management by env &amp; court; utilization targets; laddering strategies; secondary markets (where applicable).</w:t>
      </w:r>
    </w:p>
    <w:p>
      <w:r>
        <w:rPr>
          <w:rFonts w:ascii="Times New Roman" w:hAnsi="Times New Roman"/>
          <w:color w:val="000000"/>
          <w:sz w:val="22"/>
        </w:rPr>
        <w:t>• Justification artifacts &amp; approval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Instrument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Term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Utilization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