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Rightsizing &amp; Scheduling Program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Instance/container rightsizing; auto‑suspend idle; schedule non‑prod; GPU queueing/scheduling.</w:t>
      </w:r>
    </w:p>
    <w:p>
      <w:r>
        <w:rPr>
          <w:rFonts w:ascii="Times New Roman" w:hAnsi="Times New Roman"/>
          <w:color w:val="000000"/>
          <w:sz w:val="22"/>
        </w:rPr>
        <w:t>• Quarterly campaigns with KPIs and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Asset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Current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Target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Savings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