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Storage Lifecycle &amp; Data Egress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Tiering rules per dataset class; immutability for evidence; egress/transfer budgeting and controls.</w:t>
      </w:r>
    </w:p>
    <w:p>
      <w:r>
        <w:rPr>
          <w:rFonts w:ascii="Times New Roman" w:hAnsi="Times New Roman"/>
          <w:color w:val="000000"/>
          <w:sz w:val="22"/>
        </w:rPr>
        <w:t>• Cross‑region replication costs vs DR objectives.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Dataset/Class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Lifecycle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Egress Plan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