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84_FINOPS_v2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02_FinOps_Vision_Principles.docx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03_Operating_Model_Roles_RACI_.docx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04_Governance_Policy_Budgets_Alerts_Escalation.docx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05_Account_Billing_Structure_Multi_Cloud.docx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06_Tagging_Labeling_Standard_for_Cost_Allocation.docx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07_Shared_Services_Allocation_Chargeback_Showback_.docx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08_Budgets_Forecasting.docx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09_Anomaly_Detection_Response.docx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10_Commitment_Management_SP_RI_CUD_SUD_.docx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11_Rightsizing_Scheduling_Program.docx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12_Storage_Lifecycle_Data_Egress_Management.docx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13_Network_Cost_Controls.docx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14_AI_Accelerator_GPU_TPU_Cost_Management.docx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15_License_Marketplace_Spend.docx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16_FinOps_KPIs_Scorecards.docx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17_Monthly_Review_Packet_Template.docx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18_Quarterly_Planning_Savings_Registry.docx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19_ATO_Evidence_Map_FinOps.docx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20_AWS_AWS_FinOps_Reference_Tools.docx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21_AWS_AWS_Budgeting_Allocation_Patterns.docx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22_Azure_Azure_FinOps_Reference_Tools.docx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23_Azure_Azure_Budgeting_Allocation_Patterns.docx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24_GCP_GCP_FinOps_Reference_Tools.docx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25_GCP_GCP_Budgeting_Allocation_Patterns.docx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26_OCI_OCI_FinOps_Reference_Tools.docx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27_OCI_OCI_Budgeting_Allocation_Patterns.docx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28_Template_Court_Budget_Policy.docx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29_Template_Allocation_Matrix.docx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30_Template_Commitment_Purchase_Justification.docx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31_Template_Variance_Report.docx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32_Template_Court_Invoice_Chargeback_Showback_.docx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33_Template_FinOps_Charter.docx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34_Runbook_Court_Onboarding_to_FinOps.docx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35_Runbook_Monthly_Review_Cycle.docx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36_Runbook_Tagging_Remediation_Campaign.docx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37_Runbook_Rightsizing_Scheduling_Campaign.docx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38_Runbook_Commitment_Planning_Buy.docx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39_Runbook_Anomaly_Triage_Kill_Switch.docx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40_Runbook_Year_End_True_Up.docx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41_Runbook_GPU_Accelerator_Scheduling.docx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Latest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