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FedRAMP Control Mapping — ITSM &amp; CMP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Map to NIST 800‑53 Rev.5: CM (CM‑2,‑3,‑5,‑6,‑9), SA, SI, AU, AC, IA, CP families.</w:t>
      </w:r>
    </w:p>
    <w:p>
      <w:r>
        <w:rPr>
          <w:rFonts w:ascii="Times New Roman" w:hAnsi="Times New Roman"/>
          <w:color w:val="000000"/>
          <w:sz w:val="22"/>
        </w:rPr>
        <w:t>• Inherited vs implemented; evidence sources (tickets, approvals, exports).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Family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Implemented/Inherited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 Source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