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Multi‑Cloud Standardized Change Types &amp; Workflows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Harmonized Standard/Normal/Emergency change flow; evidence export profiles; cross‑cloud approvals.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Flow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Profile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