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Operations Vision &amp; Principles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Evidence‑first operations; automation by default; per‑court isolation with shared standards; assessor‑ready exports.</w:t>
      </w:r>
    </w:p>
    <w:p>
      <w:r>
        <w:rPr>
          <w:rFonts w:ascii="Times New Roman" w:hAnsi="Times New Roman"/>
          <w:color w:val="000000"/>
          <w:sz w:val="22"/>
        </w:rPr>
        <w:t>• Operate to SLOs; minimize toil; codify runbooks; practice failure and recovery.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