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Assurance Vision &amp; Principles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Independence, evidence-first operations, proportionality by risk, auditor-ready at all times.</w:t>
      </w:r>
    </w:p>
    <w:p>
      <w:r>
        <w:rPr>
          <w:rFonts w:ascii="Times New Roman" w:hAnsi="Times New Roman"/>
          <w:color w:val="000000"/>
          <w:sz w:val="22"/>
        </w:rPr>
        <w:t>• Per‑court isolation with shared standards and control inheritance from Landing Zones.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