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Assurance Operating Model &amp; Independence Charter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Define independence, objectivity, reporting lines, conflict management, confidentiality and ethics.</w:t>
      </w:r>
    </w:p>
    <w:p>
      <w:r>
        <w:rPr>
          <w:rFonts w:ascii="Times New Roman" w:hAnsi="Times New Roman"/>
          <w:color w:val="000000"/>
          <w:sz w:val="22"/>
        </w:rPr>
        <w:t>• Roles: Assurance Lead, Assessors, Court Liaisons, SMEs, Privacy, Security, Legal.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