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Training &amp; Enablement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Outcomes‑driven curriculum aligned to migration waves, landing zones, security, data, DevSecOps, operations, and FinOps.</w:t>
      </w:r>
    </w:p>
    <w:p>
      <w:r>
        <w:rPr>
          <w:rFonts w:ascii="Times New Roman" w:hAnsi="Times New Roman"/>
          <w:color w:val="000000"/>
          <w:sz w:val="22"/>
        </w:rPr>
        <w:t>• Per‑court isolation, shared standards, assessor‑ready evidence for ATO‑related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