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Types &amp; Criteria (Standard, Normal, Emergency)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Definitions, risk/impact thresholds, lead times, approvals, evidence sets, expiry for Standard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Lead Time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