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Integration with CI/CD &amp; DevSecOps Gates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Policy‑as‑code checks; SBOM attestations; artifact signing; environment promotion; change evidence export.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Fail 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