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Master Bibliography — Guidance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Use one citation register across the program; assign unique Citation IDs; track versions and access dates.</w:t>
      </w:r>
    </w:p>
    <w:p>
      <w:r>
        <w:rPr>
          <w:rFonts w:ascii="Times New Roman" w:hAnsi="Times New Roman"/>
          <w:color w:val="000000"/>
          <w:sz w:val="22"/>
        </w:rPr>
        <w:t>• Prefer primary sources (NIST, FedRAMP, CISA, DHS, DOJ/FBI CJIS, GSA, vendor primary documentation).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