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FedRAMP Baselines — Moderate &amp; High (Overview)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Baseline concepts, control tailoring, SA‑FedRAMP overlay, ConMon cadence, control inheritance from CSPs.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Tailoring Notes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ConMon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