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Annexes Overview &amp; Instructions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This pack provides reusable shells and registers for program-wide and per-court annex content.</w:t>
      </w:r>
    </w:p>
    <w:p>
      <w:r>
        <w:rPr>
          <w:rFonts w:ascii="Times New Roman" w:hAnsi="Times New Roman"/>
          <w:color w:val="000000"/>
          <w:sz w:val="22"/>
        </w:rPr>
        <w:t>• Populate tables; link canonical evidence paths; keep all text in black; avoid images; reference IDs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