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Stamping Instructions — Court Annex Shells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Use 'Court Binder — Annex Shell' as the base for each court.</w:t>
      </w:r>
    </w:p>
    <w:p>
      <w:r>
        <w:rPr>
          <w:rFonts w:ascii="Times New Roman" w:hAnsi="Times New Roman"/>
          <w:color w:val="000000"/>
          <w:sz w:val="22"/>
        </w:rPr>
        <w:t>• Replicate the same section order; update 'Court ID' and paths to court-specific evidence repositories.</w:t>
      </w:r>
    </w:p>
    <w:p>
      <w:r>
        <w:rPr>
          <w:rFonts w:ascii="Times New Roman" w:hAnsi="Times New Roman"/>
          <w:color w:val="000000"/>
          <w:sz w:val="22"/>
        </w:rPr>
        <w:t>• Do not paste images; list storage paths only. Keep text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